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F229" w14:textId="3C7E4563" w:rsidR="00F141FD" w:rsidRPr="0023679D" w:rsidRDefault="009A2936" w:rsidP="00F141FD">
      <w:pPr>
        <w:pStyle w:val="StrongCap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2"/>
        </w:rPr>
      </w:pPr>
      <w:bookmarkStart w:id="0" w:name="_Toc16850799"/>
      <w:r w:rsidRPr="0023679D">
        <w:rPr>
          <w:rFonts w:asciiTheme="minorHAnsi" w:hAnsiTheme="minorHAnsi" w:cstheme="minorHAnsi"/>
          <w:sz w:val="24"/>
          <w:szCs w:val="22"/>
        </w:rPr>
        <w:t xml:space="preserve">RFP </w:t>
      </w:r>
      <w:r w:rsidR="002557A5" w:rsidRPr="0023679D">
        <w:rPr>
          <w:rFonts w:asciiTheme="minorHAnsi" w:hAnsiTheme="minorHAnsi" w:cstheme="minorHAnsi"/>
          <w:sz w:val="24"/>
          <w:szCs w:val="22"/>
        </w:rPr>
        <w:t>25-01</w:t>
      </w:r>
      <w:r w:rsidRPr="0023679D">
        <w:rPr>
          <w:rFonts w:asciiTheme="minorHAnsi" w:hAnsiTheme="minorHAnsi" w:cstheme="minorHAnsi"/>
          <w:sz w:val="24"/>
          <w:szCs w:val="22"/>
        </w:rPr>
        <w:t>: ACTUARIAL AUDITS AND ADDITIONAL ACTUARIAL SERVICES</w:t>
      </w:r>
    </w:p>
    <w:p w14:paraId="76331277" w14:textId="71E25F89" w:rsidR="00F141FD" w:rsidRPr="0023679D" w:rsidRDefault="002557A5" w:rsidP="00F141FD">
      <w:pPr>
        <w:pStyle w:val="StrongCap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2"/>
        </w:rPr>
      </w:pPr>
      <w:r w:rsidRPr="0023679D">
        <w:rPr>
          <w:rFonts w:asciiTheme="minorHAnsi" w:hAnsiTheme="minorHAnsi" w:cstheme="minorHAnsi"/>
          <w:sz w:val="24"/>
          <w:szCs w:val="22"/>
        </w:rPr>
        <w:t>Attachment A</w:t>
      </w:r>
      <w:r w:rsidR="009A2936" w:rsidRPr="0023679D">
        <w:rPr>
          <w:rFonts w:asciiTheme="minorHAnsi" w:hAnsiTheme="minorHAnsi" w:cstheme="minorHAnsi"/>
          <w:sz w:val="24"/>
          <w:szCs w:val="22"/>
        </w:rPr>
        <w:t xml:space="preserve"> – FEE SCHEDULE</w:t>
      </w:r>
    </w:p>
    <w:p w14:paraId="20585DF0" w14:textId="77777777" w:rsidR="00F141FD" w:rsidRPr="0023679D" w:rsidRDefault="00F141FD" w:rsidP="00F141FD">
      <w:pPr>
        <w:pStyle w:val="StrongCap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bookmarkEnd w:id="0"/>
    <w:p w14:paraId="791879A8" w14:textId="77777777" w:rsidR="00E73A4F" w:rsidRPr="0023679D" w:rsidRDefault="009A2936" w:rsidP="00E5114F">
      <w:pPr>
        <w:tabs>
          <w:tab w:val="left" w:pos="72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3679D">
        <w:rPr>
          <w:rFonts w:asciiTheme="minorHAnsi" w:hAnsiTheme="minorHAnsi" w:cstheme="minorHAnsi"/>
          <w:sz w:val="22"/>
          <w:szCs w:val="22"/>
        </w:rPr>
        <w:t xml:space="preserve">Provide your </w:t>
      </w:r>
      <w:r w:rsidR="00FD4F78" w:rsidRPr="0023679D">
        <w:rPr>
          <w:rFonts w:asciiTheme="minorHAnsi" w:hAnsiTheme="minorHAnsi" w:cstheme="minorHAnsi"/>
          <w:sz w:val="22"/>
          <w:szCs w:val="22"/>
        </w:rPr>
        <w:t>fe</w:t>
      </w:r>
      <w:r w:rsidRPr="0023679D">
        <w:rPr>
          <w:rFonts w:asciiTheme="minorHAnsi" w:hAnsiTheme="minorHAnsi" w:cstheme="minorHAnsi"/>
          <w:sz w:val="22"/>
          <w:szCs w:val="22"/>
        </w:rPr>
        <w:t>es for the service</w:t>
      </w:r>
      <w:r w:rsidR="00E5114F" w:rsidRPr="0023679D">
        <w:rPr>
          <w:rFonts w:asciiTheme="minorHAnsi" w:hAnsiTheme="minorHAnsi" w:cstheme="minorHAnsi"/>
          <w:sz w:val="22"/>
          <w:szCs w:val="22"/>
        </w:rPr>
        <w:t>s</w:t>
      </w:r>
      <w:r w:rsidRPr="0023679D">
        <w:rPr>
          <w:rFonts w:asciiTheme="minorHAnsi" w:hAnsiTheme="minorHAnsi" w:cstheme="minorHAnsi"/>
          <w:sz w:val="22"/>
          <w:szCs w:val="22"/>
        </w:rPr>
        <w:t xml:space="preserve"> b</w:t>
      </w:r>
      <w:r w:rsidR="00E5114F" w:rsidRPr="0023679D">
        <w:rPr>
          <w:rFonts w:asciiTheme="minorHAnsi" w:hAnsiTheme="minorHAnsi" w:cstheme="minorHAnsi"/>
          <w:sz w:val="22"/>
          <w:szCs w:val="22"/>
        </w:rPr>
        <w:t>elow.</w:t>
      </w:r>
    </w:p>
    <w:p w14:paraId="3B000816" w14:textId="77777777" w:rsidR="00E73A4F" w:rsidRPr="0023679D" w:rsidRDefault="009A2936" w:rsidP="00383F56">
      <w:pPr>
        <w:tabs>
          <w:tab w:val="left" w:pos="72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3679D">
        <w:rPr>
          <w:rFonts w:asciiTheme="minorHAnsi" w:hAnsiTheme="minorHAnsi" w:cstheme="minorHAnsi"/>
          <w:sz w:val="22"/>
          <w:szCs w:val="22"/>
        </w:rPr>
        <w:t>The fee</w:t>
      </w:r>
      <w:r w:rsidR="0046048B" w:rsidRPr="0023679D">
        <w:rPr>
          <w:rFonts w:asciiTheme="minorHAnsi" w:hAnsiTheme="minorHAnsi" w:cstheme="minorHAnsi"/>
          <w:sz w:val="22"/>
          <w:szCs w:val="22"/>
        </w:rPr>
        <w:t>s</w:t>
      </w:r>
      <w:r w:rsidRPr="0023679D">
        <w:rPr>
          <w:rFonts w:asciiTheme="minorHAnsi" w:hAnsiTheme="minorHAnsi" w:cstheme="minorHAnsi"/>
          <w:sz w:val="22"/>
          <w:szCs w:val="22"/>
        </w:rPr>
        <w:t xml:space="preserve"> </w:t>
      </w:r>
      <w:r w:rsidR="0046048B" w:rsidRPr="0023679D">
        <w:rPr>
          <w:rFonts w:asciiTheme="minorHAnsi" w:hAnsiTheme="minorHAnsi" w:cstheme="minorHAnsi"/>
          <w:sz w:val="22"/>
          <w:szCs w:val="22"/>
        </w:rPr>
        <w:t>must</w:t>
      </w:r>
      <w:r w:rsidRPr="0023679D">
        <w:rPr>
          <w:rFonts w:asciiTheme="minorHAnsi" w:hAnsiTheme="minorHAnsi" w:cstheme="minorHAnsi"/>
          <w:sz w:val="22"/>
          <w:szCs w:val="22"/>
        </w:rPr>
        <w:t xml:space="preserve"> be all-inclusive</w:t>
      </w:r>
      <w:r w:rsidR="0046048B" w:rsidRPr="0023679D">
        <w:rPr>
          <w:rFonts w:asciiTheme="minorHAnsi" w:hAnsiTheme="minorHAnsi" w:cstheme="minorHAnsi"/>
          <w:sz w:val="22"/>
          <w:szCs w:val="22"/>
        </w:rPr>
        <w:t>,</w:t>
      </w:r>
      <w:r w:rsidRPr="0023679D">
        <w:rPr>
          <w:rFonts w:asciiTheme="minorHAnsi" w:hAnsiTheme="minorHAnsi" w:cstheme="minorHAnsi"/>
          <w:sz w:val="22"/>
          <w:szCs w:val="22"/>
        </w:rPr>
        <w:t xml:space="preserve"> including</w:t>
      </w:r>
      <w:r w:rsidR="00B44B2C" w:rsidRPr="0023679D">
        <w:rPr>
          <w:rFonts w:asciiTheme="minorHAnsi" w:hAnsiTheme="minorHAnsi" w:cstheme="minorHAnsi"/>
          <w:sz w:val="22"/>
          <w:szCs w:val="22"/>
        </w:rPr>
        <w:t xml:space="preserve"> all travel</w:t>
      </w:r>
      <w:r w:rsidR="0046048B" w:rsidRPr="0023679D">
        <w:rPr>
          <w:rFonts w:asciiTheme="minorHAnsi" w:hAnsiTheme="minorHAnsi" w:cstheme="minorHAnsi"/>
          <w:sz w:val="22"/>
          <w:szCs w:val="22"/>
        </w:rPr>
        <w:t>, administrative</w:t>
      </w:r>
      <w:r w:rsidR="00B44B2C" w:rsidRPr="0023679D">
        <w:rPr>
          <w:rFonts w:asciiTheme="minorHAnsi" w:hAnsiTheme="minorHAnsi" w:cstheme="minorHAnsi"/>
          <w:sz w:val="22"/>
          <w:szCs w:val="22"/>
        </w:rPr>
        <w:t xml:space="preserve"> and service costs.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248"/>
        <w:gridCol w:w="1732"/>
        <w:gridCol w:w="1732"/>
        <w:gridCol w:w="1733"/>
      </w:tblGrid>
      <w:tr w:rsidR="00053125" w:rsidRPr="0023679D" w14:paraId="174E42A0" w14:textId="77777777" w:rsidTr="003B4B65">
        <w:tc>
          <w:tcPr>
            <w:tcW w:w="4248" w:type="dxa"/>
            <w:shd w:val="clear" w:color="auto" w:fill="006C76"/>
            <w:vAlign w:val="center"/>
          </w:tcPr>
          <w:p w14:paraId="0B42F6C2" w14:textId="578EAF51" w:rsidR="0046048B" w:rsidRPr="0023679D" w:rsidRDefault="003B4B65" w:rsidP="005354DF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Demographic Experience Audit:</w:t>
            </w:r>
          </w:p>
        </w:tc>
        <w:tc>
          <w:tcPr>
            <w:tcW w:w="1732" w:type="dxa"/>
            <w:shd w:val="clear" w:color="auto" w:fill="006C76"/>
            <w:vAlign w:val="center"/>
          </w:tcPr>
          <w:p w14:paraId="23011DE3" w14:textId="77777777" w:rsidR="00DE4E81" w:rsidRPr="0023679D" w:rsidRDefault="009A2936" w:rsidP="000702EF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LEOFF</w:t>
            </w:r>
          </w:p>
          <w:p w14:paraId="7CE443C9" w14:textId="77777777" w:rsidR="0046048B" w:rsidRPr="0023679D" w:rsidRDefault="009A2936" w:rsidP="000702EF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Plan 2</w:t>
            </w:r>
          </w:p>
        </w:tc>
        <w:tc>
          <w:tcPr>
            <w:tcW w:w="1732" w:type="dxa"/>
            <w:shd w:val="clear" w:color="auto" w:fill="006C76"/>
            <w:vAlign w:val="center"/>
          </w:tcPr>
          <w:p w14:paraId="5C096A4F" w14:textId="77777777" w:rsidR="00DE4E81" w:rsidRPr="0023679D" w:rsidRDefault="009A2936" w:rsidP="000702EF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All Other</w:t>
            </w:r>
          </w:p>
          <w:p w14:paraId="70402EF0" w14:textId="77777777" w:rsidR="0046048B" w:rsidRPr="0023679D" w:rsidRDefault="009A2936" w:rsidP="000702EF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Plans</w:t>
            </w:r>
          </w:p>
        </w:tc>
        <w:tc>
          <w:tcPr>
            <w:tcW w:w="1733" w:type="dxa"/>
            <w:shd w:val="clear" w:color="auto" w:fill="006C76"/>
            <w:vAlign w:val="center"/>
          </w:tcPr>
          <w:p w14:paraId="6955B003" w14:textId="77777777" w:rsidR="0046048B" w:rsidRPr="0023679D" w:rsidRDefault="009A2936" w:rsidP="000702EF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053125" w:rsidRPr="0023679D" w14:paraId="5DC76760" w14:textId="77777777" w:rsidTr="000D2CEE">
        <w:trPr>
          <w:trHeight w:val="593"/>
        </w:trPr>
        <w:tc>
          <w:tcPr>
            <w:tcW w:w="4248" w:type="dxa"/>
            <w:vAlign w:val="center"/>
          </w:tcPr>
          <w:p w14:paraId="305EBE4E" w14:textId="77777777" w:rsidR="0046048B" w:rsidRPr="0023679D" w:rsidRDefault="009A2936" w:rsidP="005354DF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Demographic Experience Study Audit</w:t>
            </w:r>
          </w:p>
          <w:p w14:paraId="3DB7896F" w14:textId="5A04EF43" w:rsidR="0046048B" w:rsidRPr="0023679D" w:rsidRDefault="009A2936" w:rsidP="005354DF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sz w:val="22"/>
                <w:szCs w:val="22"/>
              </w:rPr>
              <w:t xml:space="preserve">To be </w:t>
            </w:r>
            <w:r w:rsidRPr="0061117A">
              <w:rPr>
                <w:rFonts w:asciiTheme="minorHAnsi" w:hAnsiTheme="minorHAnsi" w:cstheme="minorHAnsi"/>
                <w:sz w:val="22"/>
                <w:szCs w:val="22"/>
              </w:rPr>
              <w:t>completed by</w:t>
            </w:r>
            <w:r w:rsidR="0099251F" w:rsidRPr="006111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117A" w:rsidRPr="0061117A">
              <w:rPr>
                <w:rFonts w:asciiTheme="minorHAnsi" w:eastAsiaTheme="minorEastAsia" w:hAnsiTheme="minorHAnsi" w:cstheme="minorHAnsi"/>
                <w:sz w:val="22"/>
                <w:szCs w:val="22"/>
              </w:rPr>
              <w:t>December 31, 2025</w:t>
            </w:r>
          </w:p>
        </w:tc>
        <w:tc>
          <w:tcPr>
            <w:tcW w:w="1732" w:type="dxa"/>
            <w:vAlign w:val="center"/>
          </w:tcPr>
          <w:p w14:paraId="45202BA9" w14:textId="6B3CE2C0" w:rsidR="0046048B" w:rsidRPr="0023679D" w:rsidRDefault="000D2CEE" w:rsidP="005354DF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732" w:type="dxa"/>
            <w:vAlign w:val="center"/>
          </w:tcPr>
          <w:p w14:paraId="7E37BF0B" w14:textId="19D3DC82" w:rsidR="0046048B" w:rsidRPr="0023679D" w:rsidRDefault="000D2CEE" w:rsidP="005354DF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733" w:type="dxa"/>
            <w:vAlign w:val="center"/>
          </w:tcPr>
          <w:p w14:paraId="3BA9023B" w14:textId="6FBF2B55" w:rsidR="0046048B" w:rsidRPr="0023679D" w:rsidRDefault="000D2CEE" w:rsidP="005354DF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</w:tbl>
    <w:p w14:paraId="45D5B4D4" w14:textId="77777777" w:rsidR="0046048B" w:rsidRPr="0023679D" w:rsidRDefault="0046048B" w:rsidP="00320022">
      <w:pPr>
        <w:tabs>
          <w:tab w:val="left" w:pos="7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248"/>
        <w:gridCol w:w="1732"/>
        <w:gridCol w:w="1732"/>
        <w:gridCol w:w="1733"/>
      </w:tblGrid>
      <w:tr w:rsidR="00053125" w:rsidRPr="0023679D" w14:paraId="00BBEE2B" w14:textId="77777777" w:rsidTr="003B4B65">
        <w:tc>
          <w:tcPr>
            <w:tcW w:w="4248" w:type="dxa"/>
            <w:shd w:val="clear" w:color="auto" w:fill="006C76"/>
            <w:vAlign w:val="center"/>
          </w:tcPr>
          <w:p w14:paraId="3286F285" w14:textId="7779D5B5" w:rsidR="0046048B" w:rsidRPr="0023679D" w:rsidRDefault="009A2936" w:rsidP="000702EF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Actuarial Valuation Audit</w:t>
            </w:r>
            <w:r w:rsidR="006438B7"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732" w:type="dxa"/>
            <w:shd w:val="clear" w:color="auto" w:fill="006C76"/>
            <w:vAlign w:val="center"/>
          </w:tcPr>
          <w:p w14:paraId="7E12B96C" w14:textId="77777777" w:rsidR="00DE4E81" w:rsidRPr="0023679D" w:rsidRDefault="009A2936" w:rsidP="000702EF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LEOFF</w:t>
            </w:r>
          </w:p>
          <w:p w14:paraId="2F604DA9" w14:textId="77777777" w:rsidR="0046048B" w:rsidRPr="0023679D" w:rsidRDefault="009A2936" w:rsidP="000702EF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Plan 2</w:t>
            </w:r>
          </w:p>
        </w:tc>
        <w:tc>
          <w:tcPr>
            <w:tcW w:w="1732" w:type="dxa"/>
            <w:shd w:val="clear" w:color="auto" w:fill="006C76"/>
            <w:vAlign w:val="center"/>
          </w:tcPr>
          <w:p w14:paraId="1C9015C0" w14:textId="77777777" w:rsidR="00DE4E81" w:rsidRPr="0023679D" w:rsidRDefault="009A2936" w:rsidP="000702EF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All Other</w:t>
            </w:r>
          </w:p>
          <w:p w14:paraId="5E9F39EB" w14:textId="77777777" w:rsidR="0046048B" w:rsidRPr="0023679D" w:rsidRDefault="009A2936" w:rsidP="000702EF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Plans</w:t>
            </w:r>
          </w:p>
        </w:tc>
        <w:tc>
          <w:tcPr>
            <w:tcW w:w="1733" w:type="dxa"/>
            <w:shd w:val="clear" w:color="auto" w:fill="006C76"/>
            <w:vAlign w:val="center"/>
          </w:tcPr>
          <w:p w14:paraId="1D7DDE0A" w14:textId="77777777" w:rsidR="0046048B" w:rsidRPr="0023679D" w:rsidRDefault="009A2936" w:rsidP="000702EF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053125" w:rsidRPr="0023679D" w14:paraId="0C83B648" w14:textId="77777777" w:rsidTr="000D2CEE">
        <w:trPr>
          <w:trHeight w:val="611"/>
        </w:trPr>
        <w:tc>
          <w:tcPr>
            <w:tcW w:w="4248" w:type="dxa"/>
            <w:vAlign w:val="center"/>
          </w:tcPr>
          <w:p w14:paraId="44AC9481" w14:textId="77777777" w:rsidR="0046048B" w:rsidRPr="0023679D" w:rsidRDefault="009A2936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First biennial valuation audit</w:t>
            </w:r>
          </w:p>
          <w:p w14:paraId="2BC9EB23" w14:textId="613BC273" w:rsidR="0046048B" w:rsidRPr="0023679D" w:rsidRDefault="009A2936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sz w:val="22"/>
                <w:szCs w:val="22"/>
              </w:rPr>
              <w:t xml:space="preserve">To be </w:t>
            </w:r>
            <w:r w:rsidRPr="004D3452">
              <w:rPr>
                <w:rFonts w:asciiTheme="minorHAnsi" w:hAnsiTheme="minorHAnsi" w:cstheme="minorHAnsi"/>
                <w:sz w:val="22"/>
                <w:szCs w:val="22"/>
              </w:rPr>
              <w:t>completed by</w:t>
            </w:r>
            <w:r w:rsidR="0061117A" w:rsidRPr="004D345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July 31, </w:t>
            </w:r>
            <w:r w:rsidR="00F06CEE" w:rsidRPr="004D3452">
              <w:rPr>
                <w:rFonts w:asciiTheme="minorHAnsi" w:eastAsiaTheme="minorEastAsia" w:hAnsiTheme="minorHAnsi" w:cstheme="minorHAnsi"/>
                <w:sz w:val="22"/>
                <w:szCs w:val="22"/>
              </w:rPr>
              <w:t>2026</w:t>
            </w:r>
          </w:p>
        </w:tc>
        <w:tc>
          <w:tcPr>
            <w:tcW w:w="1732" w:type="dxa"/>
            <w:vAlign w:val="center"/>
          </w:tcPr>
          <w:p w14:paraId="7C4E6D96" w14:textId="13EE605B" w:rsidR="0046048B" w:rsidRPr="0023679D" w:rsidRDefault="000D2CEE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732" w:type="dxa"/>
            <w:vAlign w:val="center"/>
          </w:tcPr>
          <w:p w14:paraId="67CF0575" w14:textId="66B1861C" w:rsidR="0046048B" w:rsidRPr="0023679D" w:rsidRDefault="000D2CEE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733" w:type="dxa"/>
            <w:vAlign w:val="center"/>
          </w:tcPr>
          <w:p w14:paraId="0C113DFC" w14:textId="4BE9E2E0" w:rsidR="0046048B" w:rsidRPr="0023679D" w:rsidRDefault="000D2CEE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  <w:tr w:rsidR="00053125" w:rsidRPr="0023679D" w14:paraId="0CE376B5" w14:textId="77777777" w:rsidTr="000D2CEE">
        <w:trPr>
          <w:trHeight w:val="611"/>
        </w:trPr>
        <w:tc>
          <w:tcPr>
            <w:tcW w:w="4248" w:type="dxa"/>
            <w:vAlign w:val="center"/>
          </w:tcPr>
          <w:p w14:paraId="33F49171" w14:textId="77777777" w:rsidR="0046048B" w:rsidRPr="0023679D" w:rsidRDefault="009A2936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Second biennial valuation audit</w:t>
            </w:r>
          </w:p>
          <w:p w14:paraId="487C791D" w14:textId="26E73A49" w:rsidR="0046048B" w:rsidRPr="0023679D" w:rsidRDefault="009A2936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sz w:val="22"/>
                <w:szCs w:val="22"/>
              </w:rPr>
              <w:t xml:space="preserve">To be </w:t>
            </w:r>
            <w:r w:rsidRPr="004D3452">
              <w:rPr>
                <w:rFonts w:asciiTheme="minorHAnsi" w:hAnsiTheme="minorHAnsi" w:cstheme="minorHAnsi"/>
                <w:sz w:val="22"/>
                <w:szCs w:val="22"/>
              </w:rPr>
              <w:t xml:space="preserve">completed by </w:t>
            </w:r>
            <w:r w:rsidR="0061117A" w:rsidRPr="004D345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July 31, </w:t>
            </w:r>
            <w:r w:rsidR="004D3452" w:rsidRPr="004D3452">
              <w:rPr>
                <w:rFonts w:asciiTheme="minorHAnsi" w:eastAsiaTheme="minorEastAsia" w:hAnsiTheme="minorHAnsi" w:cstheme="minorHAnsi"/>
                <w:sz w:val="22"/>
                <w:szCs w:val="22"/>
              </w:rPr>
              <w:t>2027</w:t>
            </w:r>
          </w:p>
        </w:tc>
        <w:tc>
          <w:tcPr>
            <w:tcW w:w="1732" w:type="dxa"/>
            <w:vAlign w:val="center"/>
          </w:tcPr>
          <w:p w14:paraId="6A3F17F0" w14:textId="3AF33BEE" w:rsidR="0046048B" w:rsidRPr="0023679D" w:rsidRDefault="000D2CEE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732" w:type="dxa"/>
            <w:vAlign w:val="center"/>
          </w:tcPr>
          <w:p w14:paraId="11863A31" w14:textId="204EEE22" w:rsidR="0046048B" w:rsidRPr="0023679D" w:rsidRDefault="000D2CEE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733" w:type="dxa"/>
            <w:vAlign w:val="center"/>
          </w:tcPr>
          <w:p w14:paraId="657321C5" w14:textId="0F124B92" w:rsidR="0046048B" w:rsidRPr="0023679D" w:rsidRDefault="000D2CEE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  <w:tr w:rsidR="00053125" w:rsidRPr="0023679D" w14:paraId="3ADD6E82" w14:textId="77777777" w:rsidTr="000D2CEE">
        <w:trPr>
          <w:trHeight w:val="629"/>
        </w:trPr>
        <w:tc>
          <w:tcPr>
            <w:tcW w:w="4248" w:type="dxa"/>
            <w:vAlign w:val="center"/>
          </w:tcPr>
          <w:p w14:paraId="0D4DC610" w14:textId="77777777" w:rsidR="0046048B" w:rsidRPr="0023679D" w:rsidRDefault="009A2936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Third biennial valuation audit</w:t>
            </w:r>
          </w:p>
          <w:p w14:paraId="7BB41226" w14:textId="59623DA3" w:rsidR="0046048B" w:rsidRPr="0023679D" w:rsidRDefault="009A2936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sz w:val="22"/>
                <w:szCs w:val="22"/>
              </w:rPr>
              <w:t xml:space="preserve">To be completed </w:t>
            </w:r>
            <w:r w:rsidRPr="004D3452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61117A" w:rsidRPr="004D345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July 31, </w:t>
            </w:r>
            <w:r w:rsidR="004D3452" w:rsidRPr="004D3452">
              <w:rPr>
                <w:rFonts w:asciiTheme="minorHAnsi" w:eastAsiaTheme="minorEastAsia" w:hAnsiTheme="minorHAnsi" w:cstheme="minorHAnsi"/>
                <w:sz w:val="22"/>
                <w:szCs w:val="22"/>
              </w:rPr>
              <w:t>2028</w:t>
            </w:r>
          </w:p>
        </w:tc>
        <w:tc>
          <w:tcPr>
            <w:tcW w:w="1732" w:type="dxa"/>
            <w:vAlign w:val="center"/>
          </w:tcPr>
          <w:p w14:paraId="462940CD" w14:textId="28E5B6BF" w:rsidR="0046048B" w:rsidRPr="0023679D" w:rsidRDefault="000D2CEE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732" w:type="dxa"/>
            <w:vAlign w:val="center"/>
          </w:tcPr>
          <w:p w14:paraId="37A7E233" w14:textId="4372DF1A" w:rsidR="0046048B" w:rsidRPr="0023679D" w:rsidRDefault="000D2CEE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733" w:type="dxa"/>
            <w:vAlign w:val="center"/>
          </w:tcPr>
          <w:p w14:paraId="3E9D7D51" w14:textId="0FA0901C" w:rsidR="0046048B" w:rsidRPr="0023679D" w:rsidRDefault="000D2CEE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</w:tbl>
    <w:p w14:paraId="5BE54226" w14:textId="77777777" w:rsidR="0046048B" w:rsidRPr="0023679D" w:rsidRDefault="0046048B" w:rsidP="00320022">
      <w:pPr>
        <w:tabs>
          <w:tab w:val="left" w:pos="7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5278C3E" w14:textId="77777777" w:rsidR="0046048B" w:rsidRPr="0023679D" w:rsidRDefault="009A2936" w:rsidP="00320022">
      <w:pPr>
        <w:tabs>
          <w:tab w:val="left" w:pos="7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3679D">
        <w:rPr>
          <w:rFonts w:asciiTheme="minorHAnsi" w:hAnsiTheme="minorHAnsi" w:cstheme="minorHAnsi"/>
          <w:b/>
          <w:sz w:val="22"/>
          <w:szCs w:val="22"/>
        </w:rPr>
        <w:t>Hourly Rates for Additional Actuarial Services</w:t>
      </w:r>
    </w:p>
    <w:p w14:paraId="593BD13B" w14:textId="3E83CD24" w:rsidR="004F2A3D" w:rsidRPr="0023679D" w:rsidRDefault="009A2936" w:rsidP="00320022">
      <w:pPr>
        <w:tabs>
          <w:tab w:val="left" w:pos="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3679D">
        <w:rPr>
          <w:rFonts w:asciiTheme="minorHAnsi" w:hAnsiTheme="minorHAnsi" w:cstheme="minorHAnsi"/>
          <w:sz w:val="22"/>
          <w:szCs w:val="22"/>
        </w:rPr>
        <w:t xml:space="preserve">Provide your hourly rates for additional actuarial services. Include the percentage of time allocated to each role for a </w:t>
      </w:r>
      <w:r w:rsidRPr="0023679D">
        <w:rPr>
          <w:rFonts w:asciiTheme="minorHAnsi" w:hAnsiTheme="minorHAnsi" w:cstheme="minorHAnsi"/>
          <w:i/>
          <w:sz w:val="22"/>
          <w:szCs w:val="22"/>
        </w:rPr>
        <w:t>typical</w:t>
      </w:r>
      <w:r w:rsidRPr="0023679D">
        <w:rPr>
          <w:rFonts w:asciiTheme="minorHAnsi" w:hAnsiTheme="minorHAnsi" w:cstheme="minorHAnsi"/>
          <w:sz w:val="22"/>
          <w:szCs w:val="22"/>
        </w:rPr>
        <w:t xml:space="preserve"> request for additional services. Insert additional lines if needed. The </w:t>
      </w:r>
      <w:r w:rsidR="00203DA1" w:rsidRPr="0023679D">
        <w:rPr>
          <w:rFonts w:asciiTheme="minorHAnsi" w:hAnsiTheme="minorHAnsi" w:cstheme="minorHAnsi"/>
          <w:sz w:val="22"/>
          <w:szCs w:val="22"/>
        </w:rPr>
        <w:t>percentage</w:t>
      </w:r>
      <w:r w:rsidRPr="0023679D">
        <w:rPr>
          <w:rFonts w:asciiTheme="minorHAnsi" w:hAnsiTheme="minorHAnsi" w:cstheme="minorHAnsi"/>
          <w:sz w:val="22"/>
          <w:szCs w:val="22"/>
        </w:rPr>
        <w:t xml:space="preserve"> must total 100 percent. The Blended Hourly Rate will be used for the purpose of evaluating the proposal. </w:t>
      </w:r>
      <w:r w:rsidR="007C1C18" w:rsidRPr="0023679D">
        <w:rPr>
          <w:rFonts w:asciiTheme="minorHAnsi" w:hAnsiTheme="minorHAnsi" w:cstheme="minorHAnsi"/>
          <w:sz w:val="22"/>
          <w:szCs w:val="22"/>
        </w:rPr>
        <w:t xml:space="preserve">Actual </w:t>
      </w:r>
      <w:r w:rsidR="000702EF" w:rsidRPr="0023679D">
        <w:rPr>
          <w:rFonts w:asciiTheme="minorHAnsi" w:hAnsiTheme="minorHAnsi" w:cstheme="minorHAnsi"/>
          <w:sz w:val="22"/>
          <w:szCs w:val="22"/>
        </w:rPr>
        <w:t>fe</w:t>
      </w:r>
      <w:r w:rsidR="007C1C18" w:rsidRPr="0023679D">
        <w:rPr>
          <w:rFonts w:asciiTheme="minorHAnsi" w:hAnsiTheme="minorHAnsi" w:cstheme="minorHAnsi"/>
          <w:sz w:val="22"/>
          <w:szCs w:val="22"/>
        </w:rPr>
        <w:t xml:space="preserve">es for additional actuarial services will be negotiated at the time of the </w:t>
      </w:r>
      <w:r w:rsidR="00203DA1" w:rsidRPr="0023679D">
        <w:rPr>
          <w:rFonts w:asciiTheme="minorHAnsi" w:hAnsiTheme="minorHAnsi" w:cstheme="minorHAnsi"/>
          <w:sz w:val="22"/>
          <w:szCs w:val="22"/>
        </w:rPr>
        <w:t>request but</w:t>
      </w:r>
      <w:r w:rsidR="007C1C18" w:rsidRPr="0023679D">
        <w:rPr>
          <w:rFonts w:asciiTheme="minorHAnsi" w:hAnsiTheme="minorHAnsi" w:cstheme="minorHAnsi"/>
          <w:sz w:val="22"/>
          <w:szCs w:val="22"/>
        </w:rPr>
        <w:t xml:space="preserve"> may not exceed the </w:t>
      </w:r>
      <w:r w:rsidR="000702EF" w:rsidRPr="0023679D">
        <w:rPr>
          <w:rFonts w:asciiTheme="minorHAnsi" w:hAnsiTheme="minorHAnsi" w:cstheme="minorHAnsi"/>
          <w:sz w:val="22"/>
          <w:szCs w:val="22"/>
        </w:rPr>
        <w:t xml:space="preserve">hourly </w:t>
      </w:r>
      <w:r w:rsidR="007C1C18" w:rsidRPr="0023679D">
        <w:rPr>
          <w:rFonts w:asciiTheme="minorHAnsi" w:hAnsiTheme="minorHAnsi" w:cstheme="minorHAnsi"/>
          <w:sz w:val="22"/>
          <w:szCs w:val="22"/>
        </w:rPr>
        <w:t>rates provided in your proposal.</w:t>
      </w:r>
    </w:p>
    <w:p w14:paraId="66D6B2CD" w14:textId="77777777" w:rsidR="004F2A3D" w:rsidRPr="0023679D" w:rsidRDefault="004F2A3D" w:rsidP="00320022">
      <w:pPr>
        <w:tabs>
          <w:tab w:val="left" w:pos="7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855"/>
        <w:gridCol w:w="1604"/>
        <w:gridCol w:w="1375"/>
        <w:gridCol w:w="1611"/>
      </w:tblGrid>
      <w:tr w:rsidR="00053125" w:rsidRPr="0023679D" w14:paraId="6F2F68B8" w14:textId="77777777" w:rsidTr="007A2065">
        <w:tc>
          <w:tcPr>
            <w:tcW w:w="4855" w:type="dxa"/>
            <w:shd w:val="clear" w:color="auto" w:fill="006C76"/>
            <w:vAlign w:val="center"/>
          </w:tcPr>
          <w:p w14:paraId="559651AA" w14:textId="77777777" w:rsidR="00DE4E81" w:rsidRPr="0023679D" w:rsidRDefault="009A2936" w:rsidP="007C63B6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Role</w:t>
            </w:r>
            <w:r w:rsidR="0075528A"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(add additional lines if necessary)</w:t>
            </w:r>
          </w:p>
        </w:tc>
        <w:tc>
          <w:tcPr>
            <w:tcW w:w="1604" w:type="dxa"/>
            <w:shd w:val="clear" w:color="auto" w:fill="006C76"/>
            <w:vAlign w:val="center"/>
          </w:tcPr>
          <w:p w14:paraId="02C7D5E1" w14:textId="77777777" w:rsidR="008E2B17" w:rsidRPr="0023679D" w:rsidRDefault="009A2936" w:rsidP="00D563EB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(A)</w:t>
            </w:r>
          </w:p>
          <w:p w14:paraId="4764DA86" w14:textId="77777777" w:rsidR="00DE4E81" w:rsidRPr="0023679D" w:rsidRDefault="009A2936" w:rsidP="00D563EB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Rate Per Hour</w:t>
            </w:r>
          </w:p>
        </w:tc>
        <w:tc>
          <w:tcPr>
            <w:tcW w:w="1375" w:type="dxa"/>
            <w:shd w:val="clear" w:color="auto" w:fill="006C76"/>
            <w:vAlign w:val="center"/>
          </w:tcPr>
          <w:p w14:paraId="032032F5" w14:textId="77777777" w:rsidR="008E2B17" w:rsidRPr="0023679D" w:rsidRDefault="009A2936" w:rsidP="00D563EB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(B)</w:t>
            </w:r>
          </w:p>
          <w:p w14:paraId="59677FB3" w14:textId="77777777" w:rsidR="00DE4E81" w:rsidRPr="0023679D" w:rsidRDefault="009A2936" w:rsidP="00D563EB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Percentage</w:t>
            </w:r>
          </w:p>
        </w:tc>
        <w:tc>
          <w:tcPr>
            <w:tcW w:w="1611" w:type="dxa"/>
            <w:shd w:val="clear" w:color="auto" w:fill="006C76"/>
            <w:vAlign w:val="center"/>
          </w:tcPr>
          <w:p w14:paraId="729AEB81" w14:textId="77777777" w:rsidR="008E2B17" w:rsidRPr="0023679D" w:rsidRDefault="009A2936" w:rsidP="00D563EB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(A x B)</w:t>
            </w:r>
          </w:p>
          <w:p w14:paraId="3C499D96" w14:textId="77777777" w:rsidR="00DE4E81" w:rsidRPr="0023679D" w:rsidRDefault="009A2936" w:rsidP="00D563EB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Extended </w:t>
            </w:r>
            <w:r w:rsidR="000702EF"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Hourly </w:t>
            </w:r>
            <w:r w:rsidRPr="0023679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Rate</w:t>
            </w:r>
          </w:p>
        </w:tc>
      </w:tr>
      <w:tr w:rsidR="00053125" w:rsidRPr="0023679D" w14:paraId="1CD622E2" w14:textId="77777777" w:rsidTr="007A2065">
        <w:trPr>
          <w:trHeight w:val="458"/>
        </w:trPr>
        <w:tc>
          <w:tcPr>
            <w:tcW w:w="4855" w:type="dxa"/>
            <w:vAlign w:val="center"/>
          </w:tcPr>
          <w:p w14:paraId="08D143E6" w14:textId="77777777" w:rsidR="00DE4E81" w:rsidRPr="0023679D" w:rsidRDefault="00DE4E81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14:paraId="5F267524" w14:textId="77777777" w:rsidR="00DE4E81" w:rsidRPr="0023679D" w:rsidRDefault="009A2936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375" w:type="dxa"/>
            <w:vAlign w:val="center"/>
          </w:tcPr>
          <w:p w14:paraId="6168D4D2" w14:textId="77777777" w:rsidR="00DE4E81" w:rsidRPr="0023679D" w:rsidRDefault="00DE4E81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DB967F7" w14:textId="77777777" w:rsidR="00DE4E81" w:rsidRPr="0023679D" w:rsidRDefault="009A2936" w:rsidP="00DE4E81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  <w:tr w:rsidR="00053125" w:rsidRPr="0023679D" w14:paraId="1156F49E" w14:textId="77777777" w:rsidTr="007A2065">
        <w:trPr>
          <w:trHeight w:val="431"/>
        </w:trPr>
        <w:tc>
          <w:tcPr>
            <w:tcW w:w="4855" w:type="dxa"/>
            <w:vAlign w:val="center"/>
          </w:tcPr>
          <w:p w14:paraId="5E04FBC3" w14:textId="77777777" w:rsidR="00DE4E81" w:rsidRPr="0023679D" w:rsidRDefault="00DE4E81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14:paraId="003B4282" w14:textId="77777777" w:rsidR="00DE4E81" w:rsidRPr="0023679D" w:rsidRDefault="009A2936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375" w:type="dxa"/>
            <w:vAlign w:val="center"/>
          </w:tcPr>
          <w:p w14:paraId="7C732075" w14:textId="77777777" w:rsidR="00DE4E81" w:rsidRPr="0023679D" w:rsidRDefault="00DE4E81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67B1214A" w14:textId="77777777" w:rsidR="00DE4E81" w:rsidRPr="0023679D" w:rsidRDefault="009A2936" w:rsidP="00DE4E81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  <w:tr w:rsidR="00053125" w:rsidRPr="0023679D" w14:paraId="52E7F0AA" w14:textId="77777777" w:rsidTr="007A2065">
        <w:trPr>
          <w:trHeight w:val="449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4FF317FB" w14:textId="77777777" w:rsidR="00DE4E81" w:rsidRPr="0023679D" w:rsidRDefault="00DE4E81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14:paraId="3BEBD612" w14:textId="77777777" w:rsidR="00DE4E81" w:rsidRPr="0023679D" w:rsidRDefault="009A2936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375" w:type="dxa"/>
            <w:vAlign w:val="center"/>
          </w:tcPr>
          <w:p w14:paraId="61803ADE" w14:textId="77777777" w:rsidR="00DE4E81" w:rsidRPr="0023679D" w:rsidRDefault="00DE4E81" w:rsidP="00320022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F5F37AF" w14:textId="77777777" w:rsidR="00DE4E81" w:rsidRPr="0023679D" w:rsidRDefault="009A2936" w:rsidP="00DE4E81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  <w:tr w:rsidR="00053125" w:rsidRPr="0023679D" w14:paraId="5866BBBF" w14:textId="77777777" w:rsidTr="007A2065">
        <w:trPr>
          <w:trHeight w:val="431"/>
        </w:trPr>
        <w:tc>
          <w:tcPr>
            <w:tcW w:w="6459" w:type="dxa"/>
            <w:gridSpan w:val="2"/>
            <w:vAlign w:val="center"/>
          </w:tcPr>
          <w:p w14:paraId="27089D86" w14:textId="77777777" w:rsidR="00DE4E81" w:rsidRPr="0023679D" w:rsidRDefault="009A2936" w:rsidP="00DE4E81">
            <w:pPr>
              <w:tabs>
                <w:tab w:val="left" w:pos="720"/>
              </w:tabs>
              <w:suppressAutoHyphens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BLENDED HOURLY RATE*</w:t>
            </w:r>
          </w:p>
        </w:tc>
        <w:tc>
          <w:tcPr>
            <w:tcW w:w="1375" w:type="dxa"/>
            <w:vAlign w:val="center"/>
          </w:tcPr>
          <w:p w14:paraId="108FE983" w14:textId="77777777" w:rsidR="00DE4E81" w:rsidRPr="0023679D" w:rsidRDefault="009A2936" w:rsidP="00DE4E81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  <w:tc>
          <w:tcPr>
            <w:tcW w:w="1611" w:type="dxa"/>
            <w:vAlign w:val="center"/>
          </w:tcPr>
          <w:p w14:paraId="7BFDF32B" w14:textId="77777777" w:rsidR="00DE4E81" w:rsidRPr="0023679D" w:rsidRDefault="009A2936" w:rsidP="00DE4E81">
            <w:pPr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79D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</w:tbl>
    <w:p w14:paraId="783D636D" w14:textId="77777777" w:rsidR="00DE4E81" w:rsidRPr="0023679D" w:rsidRDefault="009A2936" w:rsidP="00DE4E81">
      <w:pPr>
        <w:tabs>
          <w:tab w:val="left" w:pos="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3679D">
        <w:rPr>
          <w:rFonts w:asciiTheme="minorHAnsi" w:hAnsiTheme="minorHAnsi" w:cstheme="minorHAnsi"/>
          <w:sz w:val="22"/>
          <w:szCs w:val="22"/>
        </w:rPr>
        <w:t xml:space="preserve">*The blended hourly rate </w:t>
      </w:r>
      <w:r w:rsidR="000702EF" w:rsidRPr="0023679D">
        <w:rPr>
          <w:rFonts w:asciiTheme="minorHAnsi" w:hAnsiTheme="minorHAnsi" w:cstheme="minorHAnsi"/>
          <w:sz w:val="22"/>
          <w:szCs w:val="22"/>
        </w:rPr>
        <w:t>must</w:t>
      </w:r>
      <w:r w:rsidRPr="0023679D">
        <w:rPr>
          <w:rFonts w:asciiTheme="minorHAnsi" w:hAnsiTheme="minorHAnsi" w:cstheme="minorHAnsi"/>
          <w:sz w:val="22"/>
          <w:szCs w:val="22"/>
        </w:rPr>
        <w:t xml:space="preserve"> be calculated as follows: the sum of each hourly rate times its respective percentage for a typical request for additional </w:t>
      </w:r>
      <w:r w:rsidR="002A3DAF" w:rsidRPr="0023679D">
        <w:rPr>
          <w:rFonts w:asciiTheme="minorHAnsi" w:hAnsiTheme="minorHAnsi" w:cstheme="minorHAnsi"/>
          <w:sz w:val="22"/>
          <w:szCs w:val="22"/>
        </w:rPr>
        <w:t xml:space="preserve">actuarial </w:t>
      </w:r>
      <w:r w:rsidRPr="0023679D">
        <w:rPr>
          <w:rFonts w:asciiTheme="minorHAnsi" w:hAnsiTheme="minorHAnsi" w:cstheme="minorHAnsi"/>
          <w:sz w:val="22"/>
          <w:szCs w:val="22"/>
        </w:rPr>
        <w:t>services.</w:t>
      </w:r>
    </w:p>
    <w:p w14:paraId="661C5304" w14:textId="77777777" w:rsidR="004F2A3D" w:rsidRPr="0023679D" w:rsidRDefault="004F2A3D" w:rsidP="00320022">
      <w:pPr>
        <w:tabs>
          <w:tab w:val="left" w:pos="7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sectPr w:rsidR="004F2A3D" w:rsidRPr="0023679D" w:rsidSect="00AA2B24">
      <w:footerReference w:type="default" r:id="rId10"/>
      <w:headerReference w:type="first" r:id="rId11"/>
      <w:footerReference w:type="first" r:id="rId12"/>
      <w:pgSz w:w="12240" w:h="15840" w:code="1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2D42B" w14:textId="77777777" w:rsidR="008B28F4" w:rsidRDefault="008B28F4">
      <w:r>
        <w:separator/>
      </w:r>
    </w:p>
  </w:endnote>
  <w:endnote w:type="continuationSeparator" w:id="0">
    <w:p w14:paraId="6C75FC97" w14:textId="77777777" w:rsidR="008B28F4" w:rsidRDefault="008B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D756" w14:textId="77777777" w:rsidR="00B44B2C" w:rsidRPr="00702D64" w:rsidRDefault="009A2936" w:rsidP="00AA2B24">
    <w:pPr>
      <w:pStyle w:val="Footer"/>
      <w:tabs>
        <w:tab w:val="clear" w:pos="4320"/>
        <w:tab w:val="clear" w:pos="8640"/>
        <w:tab w:val="center" w:pos="5040"/>
        <w:tab w:val="right" w:pos="10170"/>
      </w:tabs>
      <w:spacing w:before="120"/>
      <w:rPr>
        <w:rFonts w:ascii="Garamond" w:hAnsi="Garamond"/>
      </w:rPr>
    </w:pPr>
    <w:r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42B91" wp14:editId="08A83D8F">
              <wp:simplePos x="0" y="0"/>
              <wp:positionH relativeFrom="margin">
                <wp:posOffset>120015</wp:posOffset>
              </wp:positionH>
              <wp:positionV relativeFrom="paragraph">
                <wp:posOffset>31750</wp:posOffset>
              </wp:positionV>
              <wp:extent cx="6263640" cy="635"/>
              <wp:effectExtent l="15240" t="12700" r="7620" b="1524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w="sm" len="sm"/>
                        <a:tailEnd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49" style="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from="9.45pt,2.5pt" to="502.65pt,2.55pt" strokeweight="1pt">
              <v:stroke startarrowwidth="narrow" startarrowlength="short" endarrowwidth="narrow" endarrowlength="short"/>
              <w10:wrap anchorx="margin"/>
            </v:line>
          </w:pict>
        </mc:Fallback>
      </mc:AlternateContent>
    </w:r>
    <w:r w:rsidRPr="00702D64">
      <w:rPr>
        <w:rFonts w:ascii="Garamond" w:hAnsi="Garamond"/>
      </w:rPr>
      <w:t>RFP 10-0</w:t>
    </w:r>
    <w:r w:rsidR="00702D64" w:rsidRPr="00702D64">
      <w:rPr>
        <w:rFonts w:ascii="Garamond" w:hAnsi="Garamond"/>
      </w:rPr>
      <w:t>1</w:t>
    </w:r>
    <w:r w:rsidRPr="00702D64">
      <w:rPr>
        <w:rFonts w:ascii="Garamond" w:hAnsi="Garamond"/>
      </w:rPr>
      <w:t xml:space="preserve"> – Exhibit </w:t>
    </w:r>
    <w:r w:rsidR="00702D64" w:rsidRPr="00702D64">
      <w:rPr>
        <w:rFonts w:ascii="Garamond" w:hAnsi="Garamond"/>
      </w:rPr>
      <w:t>D</w:t>
    </w:r>
    <w:r w:rsidRPr="00702D64">
      <w:rPr>
        <w:rFonts w:ascii="Garamond" w:hAnsi="Garamond"/>
      </w:rPr>
      <w:tab/>
      <w:t xml:space="preserve">Page </w:t>
    </w:r>
    <w:r w:rsidRPr="00702D64">
      <w:rPr>
        <w:rStyle w:val="PageNumber"/>
        <w:rFonts w:ascii="Garamond" w:hAnsi="Garamond"/>
      </w:rPr>
      <w:fldChar w:fldCharType="begin"/>
    </w:r>
    <w:r w:rsidRPr="00702D64">
      <w:rPr>
        <w:rStyle w:val="PageNumber"/>
        <w:rFonts w:ascii="Garamond" w:hAnsi="Garamond"/>
      </w:rPr>
      <w:instrText xml:space="preserve"> PAGE </w:instrText>
    </w:r>
    <w:r w:rsidRPr="00702D64">
      <w:rPr>
        <w:rStyle w:val="PageNumber"/>
        <w:rFonts w:ascii="Garamond" w:hAnsi="Garamond"/>
      </w:rPr>
      <w:fldChar w:fldCharType="separate"/>
    </w:r>
    <w:r w:rsidR="00E5114F">
      <w:rPr>
        <w:rStyle w:val="PageNumber"/>
        <w:rFonts w:ascii="Garamond" w:hAnsi="Garamond"/>
        <w:noProof/>
      </w:rPr>
      <w:t>2</w:t>
    </w:r>
    <w:r w:rsidRPr="00702D64">
      <w:rPr>
        <w:rStyle w:val="PageNumber"/>
        <w:rFonts w:ascii="Garamond" w:hAnsi="Garamond"/>
      </w:rPr>
      <w:fldChar w:fldCharType="end"/>
    </w:r>
    <w:r w:rsidRPr="00702D64">
      <w:rPr>
        <w:rStyle w:val="PageNumber"/>
        <w:rFonts w:ascii="Garamond" w:hAnsi="Garamond"/>
      </w:rPr>
      <w:t xml:space="preserve"> of </w:t>
    </w:r>
    <w:r w:rsidR="00702D64" w:rsidRPr="00702D64">
      <w:rPr>
        <w:rStyle w:val="PageNumber"/>
        <w:rFonts w:ascii="Garamond" w:hAnsi="Garamond"/>
      </w:rPr>
      <w:t>2</w:t>
    </w:r>
    <w:r w:rsidRPr="00702D64">
      <w:rPr>
        <w:rStyle w:val="PageNumber"/>
        <w:rFonts w:ascii="Garamond" w:hAnsi="Garamond"/>
      </w:rPr>
      <w:tab/>
    </w:r>
    <w:r w:rsidR="00702D64" w:rsidRPr="00702D64">
      <w:rPr>
        <w:rStyle w:val="PageNumber"/>
        <w:rFonts w:ascii="Garamond" w:hAnsi="Garamond"/>
      </w:rPr>
      <w:t>April 19</w:t>
    </w:r>
    <w:r w:rsidRPr="00702D64">
      <w:rPr>
        <w:rStyle w:val="PageNumber"/>
        <w:rFonts w:ascii="Garamond" w:hAnsi="Garamond"/>
      </w:rPr>
      <w:t>, 2010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71595" w14:textId="45800303" w:rsidR="00F141FD" w:rsidRPr="003A288B" w:rsidRDefault="009A2936" w:rsidP="00F141FD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090"/>
      </w:tabs>
      <w:rPr>
        <w:rFonts w:asciiTheme="minorHAnsi" w:hAnsiTheme="minorHAnsi" w:cstheme="minorHAnsi"/>
        <w:noProof/>
        <w:sz w:val="18"/>
        <w:szCs w:val="18"/>
      </w:rPr>
    </w:pPr>
    <w:r w:rsidRPr="003A288B">
      <w:rPr>
        <w:rFonts w:asciiTheme="minorHAnsi" w:hAnsiTheme="minorHAnsi" w:cstheme="minorHAnsi"/>
        <w:noProof/>
        <w:sz w:val="18"/>
        <w:szCs w:val="18"/>
      </w:rPr>
      <w:t>RFP 25-01</w:t>
    </w:r>
  </w:p>
  <w:p w14:paraId="23B3A190" w14:textId="6DD77770" w:rsidR="00B44B2C" w:rsidRPr="003A288B" w:rsidRDefault="009A2936" w:rsidP="00F141FD">
    <w:pPr>
      <w:pStyle w:val="Footer"/>
      <w:tabs>
        <w:tab w:val="clear" w:pos="4320"/>
        <w:tab w:val="clear" w:pos="8640"/>
        <w:tab w:val="center" w:pos="4680"/>
        <w:tab w:val="right" w:pos="9090"/>
      </w:tabs>
      <w:rPr>
        <w:rFonts w:asciiTheme="minorHAnsi" w:hAnsiTheme="minorHAnsi" w:cstheme="minorHAnsi"/>
        <w:sz w:val="18"/>
        <w:szCs w:val="18"/>
      </w:rPr>
    </w:pPr>
    <w:r w:rsidRPr="003A288B">
      <w:rPr>
        <w:rFonts w:asciiTheme="minorHAnsi" w:hAnsiTheme="minorHAnsi" w:cstheme="minorHAnsi"/>
        <w:noProof/>
        <w:sz w:val="18"/>
        <w:szCs w:val="18"/>
      </w:rPr>
      <w:t>Attachment A – Fee Schedule</w:t>
    </w:r>
    <w:r w:rsidRPr="003A288B">
      <w:rPr>
        <w:rFonts w:asciiTheme="minorHAnsi" w:hAnsiTheme="minorHAnsi" w:cstheme="minorHAnsi"/>
        <w:sz w:val="18"/>
        <w:szCs w:val="18"/>
      </w:rPr>
      <w:tab/>
      <w:t xml:space="preserve">Page </w:t>
    </w:r>
    <w:r w:rsidRPr="003A288B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3A288B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3A288B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9A23E7" w:rsidRPr="003A288B">
      <w:rPr>
        <w:rStyle w:val="PageNumber"/>
        <w:rFonts w:asciiTheme="minorHAnsi" w:hAnsiTheme="minorHAnsi" w:cstheme="minorHAnsi"/>
        <w:noProof/>
        <w:sz w:val="18"/>
        <w:szCs w:val="18"/>
      </w:rPr>
      <w:t>1</w:t>
    </w:r>
    <w:r w:rsidRPr="003A288B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3A288B">
      <w:rPr>
        <w:rStyle w:val="PageNumber"/>
        <w:rFonts w:asciiTheme="minorHAnsi" w:hAnsiTheme="minorHAnsi" w:cstheme="minorHAnsi"/>
        <w:sz w:val="18"/>
        <w:szCs w:val="18"/>
      </w:rPr>
      <w:t xml:space="preserve"> of </w:t>
    </w:r>
    <w:r w:rsidRPr="003A288B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3A288B">
      <w:rPr>
        <w:rStyle w:val="PageNumber"/>
        <w:rFonts w:asciiTheme="minorHAnsi" w:hAnsiTheme="minorHAnsi" w:cstheme="minorHAnsi"/>
        <w:sz w:val="18"/>
        <w:szCs w:val="18"/>
      </w:rPr>
      <w:instrText xml:space="preserve"> NUMPAGES   \* MERGEFORMAT </w:instrText>
    </w:r>
    <w:r w:rsidRPr="003A288B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9A23E7" w:rsidRPr="003A288B">
      <w:rPr>
        <w:rStyle w:val="PageNumber"/>
        <w:rFonts w:asciiTheme="minorHAnsi" w:hAnsiTheme="minorHAnsi" w:cstheme="minorHAnsi"/>
        <w:noProof/>
        <w:sz w:val="18"/>
        <w:szCs w:val="18"/>
      </w:rPr>
      <w:t>1</w:t>
    </w:r>
    <w:r w:rsidRPr="003A288B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C2B4" w14:textId="77777777" w:rsidR="008B28F4" w:rsidRDefault="008B28F4">
      <w:r>
        <w:separator/>
      </w:r>
    </w:p>
  </w:footnote>
  <w:footnote w:type="continuationSeparator" w:id="0">
    <w:p w14:paraId="4384CEB5" w14:textId="77777777" w:rsidR="008B28F4" w:rsidRDefault="008B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B4CA" w14:textId="77777777" w:rsidR="00B44B2C" w:rsidRPr="00702D64" w:rsidRDefault="009A2936" w:rsidP="002D05DF">
    <w:pPr>
      <w:pStyle w:val="Header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08E5"/>
    <w:multiLevelType w:val="hybridMultilevel"/>
    <w:tmpl w:val="BB6E1204"/>
    <w:lvl w:ilvl="0" w:tplc="0D14F484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B387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D89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986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62F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F20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76D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0E1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D2B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0F1F02"/>
    <w:multiLevelType w:val="multilevel"/>
    <w:tmpl w:val="A8344DD2"/>
    <w:lvl w:ilvl="0">
      <w:start w:val="1"/>
      <w:numFmt w:val="decimal"/>
      <w:pStyle w:val="StrongCap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FCSub-Head"/>
      <w:lvlText w:val="%1.%2"/>
      <w:lvlJc w:val="left"/>
      <w:pPr>
        <w:ind w:left="720" w:hanging="720"/>
      </w:pPr>
      <w:rPr>
        <w:rFonts w:ascii="Ebrima" w:hAnsi="Ebrim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Ebrima" w:hAnsi="Ebrima" w:hint="default"/>
        <w:b/>
        <w:i/>
        <w:sz w:val="22"/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Ebrima" w:hAnsi="Ebrima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1B165C"/>
    <w:multiLevelType w:val="singleLevel"/>
    <w:tmpl w:val="9C388118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90"/>
      </w:pPr>
      <w:rPr>
        <w:rFonts w:cs="Times New Roman"/>
        <w:caps w:val="0"/>
      </w:rPr>
    </w:lvl>
  </w:abstractNum>
  <w:abstractNum w:abstractNumId="3" w15:restartNumberingAfterBreak="0">
    <w:nsid w:val="3A5877C5"/>
    <w:multiLevelType w:val="singleLevel"/>
    <w:tmpl w:val="260633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vertAlign w:val="superscript"/>
      </w:rPr>
    </w:lvl>
  </w:abstractNum>
  <w:abstractNum w:abstractNumId="4" w15:restartNumberingAfterBreak="0">
    <w:nsid w:val="41D24F27"/>
    <w:multiLevelType w:val="hybridMultilevel"/>
    <w:tmpl w:val="7D9C715A"/>
    <w:lvl w:ilvl="0" w:tplc="21CE5F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F9839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4BCBC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EEE7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C1219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1AC6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39CC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9AAA0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3228C8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76179"/>
    <w:multiLevelType w:val="singleLevel"/>
    <w:tmpl w:val="F7A642B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17338509">
    <w:abstractNumId w:val="5"/>
  </w:num>
  <w:num w:numId="2" w16cid:durableId="604702259">
    <w:abstractNumId w:val="0"/>
  </w:num>
  <w:num w:numId="3" w16cid:durableId="835926527">
    <w:abstractNumId w:val="2"/>
  </w:num>
  <w:num w:numId="4" w16cid:durableId="692001679">
    <w:abstractNumId w:val="3"/>
  </w:num>
  <w:num w:numId="5" w16cid:durableId="1523786007">
    <w:abstractNumId w:val="4"/>
  </w:num>
  <w:num w:numId="6" w16cid:durableId="189184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B7"/>
    <w:rsid w:val="00036DA3"/>
    <w:rsid w:val="00043A3F"/>
    <w:rsid w:val="00047867"/>
    <w:rsid w:val="00053125"/>
    <w:rsid w:val="00057CCA"/>
    <w:rsid w:val="00060ABA"/>
    <w:rsid w:val="000702EF"/>
    <w:rsid w:val="00092673"/>
    <w:rsid w:val="00094C60"/>
    <w:rsid w:val="000A0E7D"/>
    <w:rsid w:val="000B4E6D"/>
    <w:rsid w:val="000D2CEE"/>
    <w:rsid w:val="000E2458"/>
    <w:rsid w:val="000F4D9C"/>
    <w:rsid w:val="00132969"/>
    <w:rsid w:val="00141906"/>
    <w:rsid w:val="00145C6A"/>
    <w:rsid w:val="00154831"/>
    <w:rsid w:val="00155928"/>
    <w:rsid w:val="00170EAE"/>
    <w:rsid w:val="001A5D18"/>
    <w:rsid w:val="001C0A28"/>
    <w:rsid w:val="001C1528"/>
    <w:rsid w:val="00203DA1"/>
    <w:rsid w:val="00213096"/>
    <w:rsid w:val="0021579D"/>
    <w:rsid w:val="002209E3"/>
    <w:rsid w:val="0023679D"/>
    <w:rsid w:val="0024234D"/>
    <w:rsid w:val="00254B08"/>
    <w:rsid w:val="002557A5"/>
    <w:rsid w:val="002679FE"/>
    <w:rsid w:val="002726F5"/>
    <w:rsid w:val="002A3DAF"/>
    <w:rsid w:val="002B2E04"/>
    <w:rsid w:val="002B5FB3"/>
    <w:rsid w:val="002C1359"/>
    <w:rsid w:val="002C390A"/>
    <w:rsid w:val="002D05DF"/>
    <w:rsid w:val="002D219C"/>
    <w:rsid w:val="00320022"/>
    <w:rsid w:val="003511EB"/>
    <w:rsid w:val="00363EF1"/>
    <w:rsid w:val="00367E96"/>
    <w:rsid w:val="00383F56"/>
    <w:rsid w:val="003A288B"/>
    <w:rsid w:val="003A691E"/>
    <w:rsid w:val="003B4B65"/>
    <w:rsid w:val="003C229A"/>
    <w:rsid w:val="003C368D"/>
    <w:rsid w:val="003D5CDF"/>
    <w:rsid w:val="003D5F29"/>
    <w:rsid w:val="00405DDD"/>
    <w:rsid w:val="004531A3"/>
    <w:rsid w:val="004555B1"/>
    <w:rsid w:val="0046048B"/>
    <w:rsid w:val="0048509B"/>
    <w:rsid w:val="00485C3E"/>
    <w:rsid w:val="00491BF7"/>
    <w:rsid w:val="00492B58"/>
    <w:rsid w:val="00495017"/>
    <w:rsid w:val="004B4DED"/>
    <w:rsid w:val="004C4469"/>
    <w:rsid w:val="004D3452"/>
    <w:rsid w:val="004F2A3D"/>
    <w:rsid w:val="004F3F8B"/>
    <w:rsid w:val="00502022"/>
    <w:rsid w:val="00525C92"/>
    <w:rsid w:val="00535070"/>
    <w:rsid w:val="005354DF"/>
    <w:rsid w:val="0056743C"/>
    <w:rsid w:val="005773D4"/>
    <w:rsid w:val="005911A8"/>
    <w:rsid w:val="00597B8B"/>
    <w:rsid w:val="005D6700"/>
    <w:rsid w:val="00602195"/>
    <w:rsid w:val="006037E7"/>
    <w:rsid w:val="0061117A"/>
    <w:rsid w:val="00614A3F"/>
    <w:rsid w:val="006151FC"/>
    <w:rsid w:val="006438B7"/>
    <w:rsid w:val="00664D12"/>
    <w:rsid w:val="00670D06"/>
    <w:rsid w:val="006751CB"/>
    <w:rsid w:val="006867C0"/>
    <w:rsid w:val="006A2A67"/>
    <w:rsid w:val="006B755A"/>
    <w:rsid w:val="006C518F"/>
    <w:rsid w:val="006C6D3D"/>
    <w:rsid w:val="006E7F2D"/>
    <w:rsid w:val="006F3657"/>
    <w:rsid w:val="00700F7A"/>
    <w:rsid w:val="00702D64"/>
    <w:rsid w:val="007049D7"/>
    <w:rsid w:val="0075528A"/>
    <w:rsid w:val="00757211"/>
    <w:rsid w:val="00767E40"/>
    <w:rsid w:val="0077053E"/>
    <w:rsid w:val="007A2065"/>
    <w:rsid w:val="007B7A69"/>
    <w:rsid w:val="007C1C18"/>
    <w:rsid w:val="007C63B6"/>
    <w:rsid w:val="007D432F"/>
    <w:rsid w:val="007E16B7"/>
    <w:rsid w:val="007E3579"/>
    <w:rsid w:val="007E4679"/>
    <w:rsid w:val="00836135"/>
    <w:rsid w:val="00856057"/>
    <w:rsid w:val="00875650"/>
    <w:rsid w:val="008B28F4"/>
    <w:rsid w:val="008B6B60"/>
    <w:rsid w:val="008B7987"/>
    <w:rsid w:val="008D4D6B"/>
    <w:rsid w:val="008D61DC"/>
    <w:rsid w:val="008E2B17"/>
    <w:rsid w:val="009034EA"/>
    <w:rsid w:val="0090635D"/>
    <w:rsid w:val="009223AE"/>
    <w:rsid w:val="0094690A"/>
    <w:rsid w:val="009861C3"/>
    <w:rsid w:val="0099251F"/>
    <w:rsid w:val="00996550"/>
    <w:rsid w:val="009A0C06"/>
    <w:rsid w:val="009A23E7"/>
    <w:rsid w:val="009A2936"/>
    <w:rsid w:val="009C5645"/>
    <w:rsid w:val="00A017C2"/>
    <w:rsid w:val="00A32FE6"/>
    <w:rsid w:val="00A40745"/>
    <w:rsid w:val="00A40D3C"/>
    <w:rsid w:val="00A46D3D"/>
    <w:rsid w:val="00A57A4D"/>
    <w:rsid w:val="00A65671"/>
    <w:rsid w:val="00A73C40"/>
    <w:rsid w:val="00A773C1"/>
    <w:rsid w:val="00A82EDF"/>
    <w:rsid w:val="00AA0DDF"/>
    <w:rsid w:val="00AA2B24"/>
    <w:rsid w:val="00AE34BB"/>
    <w:rsid w:val="00AF6610"/>
    <w:rsid w:val="00B374FC"/>
    <w:rsid w:val="00B405CB"/>
    <w:rsid w:val="00B44B2C"/>
    <w:rsid w:val="00B50E31"/>
    <w:rsid w:val="00B7291B"/>
    <w:rsid w:val="00B74853"/>
    <w:rsid w:val="00BC3585"/>
    <w:rsid w:val="00BC6ABC"/>
    <w:rsid w:val="00BC7F55"/>
    <w:rsid w:val="00BF1318"/>
    <w:rsid w:val="00C274B6"/>
    <w:rsid w:val="00C41756"/>
    <w:rsid w:val="00C534E2"/>
    <w:rsid w:val="00C744F2"/>
    <w:rsid w:val="00C867B2"/>
    <w:rsid w:val="00CA6F92"/>
    <w:rsid w:val="00CA771B"/>
    <w:rsid w:val="00CB3607"/>
    <w:rsid w:val="00CB4152"/>
    <w:rsid w:val="00CB6F24"/>
    <w:rsid w:val="00CC428F"/>
    <w:rsid w:val="00CC5FAB"/>
    <w:rsid w:val="00CD3256"/>
    <w:rsid w:val="00CE31A6"/>
    <w:rsid w:val="00CE6B8F"/>
    <w:rsid w:val="00CF459B"/>
    <w:rsid w:val="00D0361A"/>
    <w:rsid w:val="00D475A8"/>
    <w:rsid w:val="00D55D78"/>
    <w:rsid w:val="00D563EB"/>
    <w:rsid w:val="00D82ECC"/>
    <w:rsid w:val="00DC12D0"/>
    <w:rsid w:val="00DC4B8A"/>
    <w:rsid w:val="00DD18F2"/>
    <w:rsid w:val="00DE4E81"/>
    <w:rsid w:val="00E00B7D"/>
    <w:rsid w:val="00E159BA"/>
    <w:rsid w:val="00E16F08"/>
    <w:rsid w:val="00E2362C"/>
    <w:rsid w:val="00E43A41"/>
    <w:rsid w:val="00E44A41"/>
    <w:rsid w:val="00E5114F"/>
    <w:rsid w:val="00E546E9"/>
    <w:rsid w:val="00E73A4F"/>
    <w:rsid w:val="00E96009"/>
    <w:rsid w:val="00EB0A34"/>
    <w:rsid w:val="00EB223D"/>
    <w:rsid w:val="00EC0071"/>
    <w:rsid w:val="00EC7E68"/>
    <w:rsid w:val="00ED372E"/>
    <w:rsid w:val="00EF6BB5"/>
    <w:rsid w:val="00F04211"/>
    <w:rsid w:val="00F06CEE"/>
    <w:rsid w:val="00F141FD"/>
    <w:rsid w:val="00F472A4"/>
    <w:rsid w:val="00F66D8E"/>
    <w:rsid w:val="00F74AC6"/>
    <w:rsid w:val="00F75FC4"/>
    <w:rsid w:val="00F7771B"/>
    <w:rsid w:val="00F908D6"/>
    <w:rsid w:val="00FA05BC"/>
    <w:rsid w:val="00FA7823"/>
    <w:rsid w:val="00FC41BF"/>
    <w:rsid w:val="00FC7C61"/>
    <w:rsid w:val="00FD1D97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4E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FC4"/>
  </w:style>
  <w:style w:type="paragraph" w:styleId="Heading1">
    <w:name w:val="heading 1"/>
    <w:basedOn w:val="Normal"/>
    <w:next w:val="Normal"/>
    <w:link w:val="Heading1Char"/>
    <w:qFormat/>
    <w:rsid w:val="00F75FC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B4DED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F75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4B4DED"/>
    <w:rPr>
      <w:rFonts w:cs="Times New Roman"/>
      <w:sz w:val="20"/>
      <w:szCs w:val="20"/>
    </w:rPr>
  </w:style>
  <w:style w:type="table" w:styleId="TableGrid">
    <w:name w:val="Table Grid"/>
    <w:basedOn w:val="TableNormal"/>
    <w:rsid w:val="00F7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75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4B4DED"/>
    <w:rPr>
      <w:rFonts w:cs="Times New Roman"/>
      <w:sz w:val="20"/>
      <w:szCs w:val="20"/>
    </w:rPr>
  </w:style>
  <w:style w:type="paragraph" w:customStyle="1" w:styleId="SectionHed">
    <w:name w:val="SectionHed"/>
    <w:basedOn w:val="Normal"/>
    <w:rsid w:val="00F75FC4"/>
    <w:pPr>
      <w:tabs>
        <w:tab w:val="left" w:pos="504"/>
        <w:tab w:val="left" w:pos="1008"/>
        <w:tab w:val="left" w:pos="1512"/>
        <w:tab w:val="left" w:pos="2016"/>
        <w:tab w:val="left" w:pos="2520"/>
      </w:tabs>
      <w:spacing w:after="720"/>
      <w:jc w:val="center"/>
    </w:pPr>
    <w:rPr>
      <w:rFonts w:ascii="Garamond" w:hAnsi="Garamond"/>
      <w:b/>
      <w:smallCaps/>
      <w:sz w:val="28"/>
    </w:rPr>
  </w:style>
  <w:style w:type="paragraph" w:styleId="BalloonText">
    <w:name w:val="Balloon Text"/>
    <w:basedOn w:val="Normal"/>
    <w:link w:val="BalloonTextChar"/>
    <w:semiHidden/>
    <w:rsid w:val="00455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B4DE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FC7C61"/>
    <w:pPr>
      <w:ind w:left="720"/>
      <w:jc w:val="both"/>
    </w:pPr>
    <w:rPr>
      <w:rFonts w:ascii="Garamond" w:hAnsi="Garamond"/>
      <w:sz w:val="25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4B4DED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rsid w:val="003511E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locked/>
    <w:rsid w:val="004B4DED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rsid w:val="00D475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D475A8"/>
  </w:style>
  <w:style w:type="character" w:customStyle="1" w:styleId="CommentTextChar">
    <w:name w:val="Comment Text Char"/>
    <w:basedOn w:val="DefaultParagraphFont"/>
    <w:link w:val="CommentText"/>
    <w:locked/>
    <w:rsid w:val="00D475A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D47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475A8"/>
    <w:rPr>
      <w:rFonts w:cs="Times New Roman"/>
      <w:b/>
      <w:bCs/>
    </w:rPr>
  </w:style>
  <w:style w:type="paragraph" w:customStyle="1" w:styleId="Level3">
    <w:name w:val="Level3+"/>
    <w:basedOn w:val="Normal"/>
    <w:rsid w:val="00AA2B24"/>
    <w:pPr>
      <w:tabs>
        <w:tab w:val="left" w:pos="504"/>
        <w:tab w:val="left" w:pos="1008"/>
        <w:tab w:val="left" w:pos="1512"/>
        <w:tab w:val="left" w:pos="2016"/>
        <w:tab w:val="left" w:pos="2520"/>
      </w:tabs>
      <w:spacing w:after="240"/>
      <w:ind w:left="2016"/>
    </w:pPr>
    <w:rPr>
      <w:rFonts w:ascii="Garamond" w:hAnsi="Garamond"/>
      <w:sz w:val="25"/>
    </w:rPr>
  </w:style>
  <w:style w:type="paragraph" w:styleId="Title">
    <w:name w:val="Title"/>
    <w:basedOn w:val="Normal"/>
    <w:link w:val="TitleChar"/>
    <w:qFormat/>
    <w:locked/>
    <w:rsid w:val="00AA2B24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after="240"/>
      <w:jc w:val="center"/>
    </w:pPr>
    <w:rPr>
      <w:rFonts w:ascii="Garamond" w:hAnsi="Garamond"/>
      <w:b/>
      <w:smallCaps/>
      <w:sz w:val="25"/>
    </w:rPr>
  </w:style>
  <w:style w:type="character" w:customStyle="1" w:styleId="TitleChar">
    <w:name w:val="Title Char"/>
    <w:basedOn w:val="DefaultParagraphFont"/>
    <w:link w:val="Title"/>
    <w:locked/>
    <w:rsid w:val="00AA2B24"/>
    <w:rPr>
      <w:rFonts w:ascii="Garamond" w:hAnsi="Garamond" w:cs="Times New Roman"/>
      <w:b/>
      <w:smallCaps/>
      <w:sz w:val="25"/>
      <w:lang w:val="en-US" w:eastAsia="en-US" w:bidi="ar-SA"/>
    </w:rPr>
  </w:style>
  <w:style w:type="character" w:styleId="PageNumber">
    <w:name w:val="page number"/>
    <w:basedOn w:val="DefaultParagraphFont"/>
    <w:rsid w:val="00AA2B24"/>
    <w:rPr>
      <w:rFonts w:cs="Times New Roman"/>
    </w:rPr>
  </w:style>
  <w:style w:type="paragraph" w:customStyle="1" w:styleId="StrongCap">
    <w:name w:val="StrongCap"/>
    <w:basedOn w:val="Normal"/>
    <w:link w:val="StrongCapChar"/>
    <w:qFormat/>
    <w:rsid w:val="00F141FD"/>
    <w:pPr>
      <w:numPr>
        <w:numId w:val="6"/>
      </w:numPr>
      <w:tabs>
        <w:tab w:val="left" w:pos="504"/>
        <w:tab w:val="left" w:pos="1008"/>
        <w:tab w:val="left" w:pos="1512"/>
        <w:tab w:val="left" w:pos="2016"/>
        <w:tab w:val="left" w:pos="2520"/>
      </w:tabs>
      <w:spacing w:after="120"/>
    </w:pPr>
    <w:rPr>
      <w:rFonts w:ascii="Ebrima" w:hAnsi="Ebrima"/>
      <w:b/>
      <w:caps/>
      <w:sz w:val="22"/>
    </w:rPr>
  </w:style>
  <w:style w:type="paragraph" w:customStyle="1" w:styleId="PFCSub-Head">
    <w:name w:val="PFC Sub-Head"/>
    <w:basedOn w:val="BodyText"/>
    <w:qFormat/>
    <w:rsid w:val="00F141FD"/>
    <w:pPr>
      <w:keepNext/>
      <w:numPr>
        <w:ilvl w:val="1"/>
        <w:numId w:val="6"/>
      </w:numPr>
      <w:tabs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0" w:firstLine="0"/>
    </w:pPr>
    <w:rPr>
      <w:rFonts w:ascii="Ebrima" w:hAnsi="Ebrima"/>
      <w:b/>
      <w:sz w:val="22"/>
    </w:rPr>
  </w:style>
  <w:style w:type="character" w:customStyle="1" w:styleId="StrongCapChar">
    <w:name w:val="StrongCap Char"/>
    <w:basedOn w:val="DefaultParagraphFont"/>
    <w:link w:val="StrongCap"/>
    <w:rsid w:val="00F141FD"/>
    <w:rPr>
      <w:rFonts w:ascii="Ebrima" w:hAnsi="Ebrima"/>
      <w:b/>
      <w:caps/>
      <w:sz w:val="22"/>
    </w:rPr>
  </w:style>
  <w:style w:type="paragraph" w:styleId="BodyText">
    <w:name w:val="Body Text"/>
    <w:basedOn w:val="Normal"/>
    <w:link w:val="BodyTextChar"/>
    <w:semiHidden/>
    <w:unhideWhenUsed/>
    <w:rsid w:val="00F141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1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13DCF5FF7324BB053C1DC4847532F" ma:contentTypeVersion="22" ma:contentTypeDescription="Create a new document." ma:contentTypeScope="" ma:versionID="220c665e7c5a70013ef6570605309246">
  <xsd:schema xmlns:xsd="http://www.w3.org/2001/XMLSchema" xmlns:xs="http://www.w3.org/2001/XMLSchema" xmlns:p="http://schemas.microsoft.com/office/2006/metadata/properties" xmlns:ns1="http://schemas.microsoft.com/sharepoint/v3" xmlns:ns2="c88750b3-73f8-4f46-83fd-0b6fb0b022e5" xmlns:ns3="1fb36633-3f9e-43bd-8c0e-68fdee59c5d1" targetNamespace="http://schemas.microsoft.com/office/2006/metadata/properties" ma:root="true" ma:fieldsID="be811d0f2abef6453470fcf8a1570537" ns1:_="" ns2:_="" ns3:_="">
    <xsd:import namespace="http://schemas.microsoft.com/sharepoint/v3"/>
    <xsd:import namespace="c88750b3-73f8-4f46-83fd-0b6fb0b022e5"/>
    <xsd:import namespace="1fb36633-3f9e-43bd-8c0e-68fdee59c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Status" minOccurs="0"/>
                <xsd:element ref="ns2:StartDate" minOccurs="0"/>
                <xsd:element ref="ns2:EndDate" minOccurs="0"/>
                <xsd:element ref="ns2:ContractType" minOccurs="0"/>
                <xsd:element ref="ns2:BusinessOwner" minOccurs="0"/>
                <xsd:element ref="ns2:Vendor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50b3-73f8-4f46-83fd-0b6fb0b02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3" nillable="true" ma:displayName="Status" ma:format="Dropdown" ma:indexed="true" ma:internalName="Status">
      <xsd:simpleType>
        <xsd:restriction base="dms:Choice">
          <xsd:enumeration value="Active"/>
          <xsd:enumeration value="Expired"/>
          <xsd:enumeration value="Ending Soon"/>
        </xsd:restriction>
      </xsd:simpleType>
    </xsd:element>
    <xsd:element name="StartDate" ma:index="24" nillable="true" ma:displayName="Start Date" ma:format="DateOnly" ma:internalName="StartDate">
      <xsd:simpleType>
        <xsd:restriction base="dms:DateTime"/>
      </xsd:simpleType>
    </xsd:element>
    <xsd:element name="EndDate" ma:index="25" nillable="true" ma:displayName="End Date" ma:format="DateOnly" ma:internalName="EndDate">
      <xsd:simpleType>
        <xsd:restriction base="dms:DateTime"/>
      </xsd:simpleType>
    </xsd:element>
    <xsd:element name="ContractType" ma:index="26" nillable="true" ma:displayName="Contract Type" ma:format="Dropdown" ma:internalName="ContractType">
      <xsd:simpleType>
        <xsd:restriction base="dms:Choice">
          <xsd:enumeration value="Master Contract-SOW"/>
          <xsd:enumeration value="Statewide Contract - SOW"/>
          <xsd:enumeration value="Direct Buy"/>
          <xsd:enumeration value="Sole Source"/>
          <xsd:enumeration value="Subscription Agreement"/>
          <xsd:enumeration value="ITPS"/>
          <xsd:enumeration value="IAA"/>
          <xsd:enumeration value="Competitive Contract"/>
          <xsd:enumeration value="Convenience Contract"/>
        </xsd:restriction>
      </xsd:simpleType>
    </xsd:element>
    <xsd:element name="BusinessOwner" ma:index="27" nillable="true" ma:displayName="Business Owner" ma:format="Dropdown" ma:internalName="BusinessOwner">
      <xsd:simpleType>
        <xsd:restriction base="dms:Text">
          <xsd:maxLength value="255"/>
        </xsd:restriction>
      </xsd:simpleType>
    </xsd:element>
    <xsd:element name="VendorName" ma:index="28" nillable="true" ma:displayName="Vendor Name" ma:format="Dropdown" ma:internalName="VendorName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6633-3f9e-43bd-8c0e-68fdee59c5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1e596d-647e-453e-9bf9-dd2240b5982a}" ma:internalName="TaxCatchAll" ma:showField="CatchAllData" ma:web="1fb36633-3f9e-43bd-8c0e-68fdee59c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88750b3-73f8-4f46-83fd-0b6fb0b022e5">
      <Terms xmlns="http://schemas.microsoft.com/office/infopath/2007/PartnerControls"/>
    </lcf76f155ced4ddcb4097134ff3c332f>
    <TaxCatchAll xmlns="1fb36633-3f9e-43bd-8c0e-68fdee59c5d1" xsi:nil="true"/>
    <StartDate xmlns="c88750b3-73f8-4f46-83fd-0b6fb0b022e5" xsi:nil="true"/>
    <BusinessOwner xmlns="c88750b3-73f8-4f46-83fd-0b6fb0b022e5" xsi:nil="true"/>
    <ContractType xmlns="c88750b3-73f8-4f46-83fd-0b6fb0b022e5" xsi:nil="true"/>
    <VendorName xmlns="c88750b3-73f8-4f46-83fd-0b6fb0b022e5" xsi:nil="true"/>
    <EndDate xmlns="c88750b3-73f8-4f46-83fd-0b6fb0b022e5" xsi:nil="true"/>
    <Status xmlns="c88750b3-73f8-4f46-83fd-0b6fb0b022e5" xsi:nil="true"/>
  </documentManagement>
</p:properties>
</file>

<file path=customXml/itemProps1.xml><?xml version="1.0" encoding="utf-8"?>
<ds:datastoreItem xmlns:ds="http://schemas.openxmlformats.org/officeDocument/2006/customXml" ds:itemID="{F8B3AF39-CE71-4646-AE9E-F4FA98234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E5CF5-665D-4287-950E-554B934C9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8750b3-73f8-4f46-83fd-0b6fb0b022e5"/>
    <ds:schemaRef ds:uri="1fb36633-3f9e-43bd-8c0e-68fdee59c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6C462-7E75-4CBE-9A35-D2AD9B9FA7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8750b3-73f8-4f46-83fd-0b6fb0b022e5"/>
    <ds:schemaRef ds:uri="1fb36633-3f9e-43bd-8c0e-68fdee59c5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2025-03-27T19:33:00Z</dcterms:created>
  <dcterms:modified xsi:type="dcterms:W3CDTF">2025-03-27T19:54:00Z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010021{"F":2,"I":"1D55-781B-CF04-3E10"}</vt:lpwstr>
  </property>
  <property fmtid="{D5CDD505-2E9C-101B-9397-08002B2CF9AE}" pid="3" name="ContentTypeId">
    <vt:lpwstr>0x01010023613DCF5FF7324BB053C1DC4847532F</vt:lpwstr>
  </property>
</Properties>
</file>